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89</w:t>
      </w:r>
    </w:p>
    <w:p>
      <w:r>
        <w:t>Bundesgericht (BGE), 2006-01-01, DE</w:t>
      </w:r>
    </w:p>
    <w:p>
      <w:r>
        <w:rPr>
          <w:b/>
        </w:rPr>
        <w:t xml:space="preserve">Quelle: </w:t>
      </w:r>
      <w:r>
        <w:t>https://mcp.opencaselaw.ch/entscheid/bge_132 IV 89</w:t>
      </w:r>
    </w:p>
    <w:p>
      <w:r>
        <w:t>FR: ATF 132 IV 89</w:t>
      </w:r>
    </w:p>
    <w:p>
      <w:r>
        <w:t>IT: DTF 132 IV 89</w:t>
      </w:r>
    </w:p>
    <w:p>
      <w:pPr>
        <w:pStyle w:val="Heading2"/>
      </w:pPr>
      <w:r>
        <w:t>Regeste</w:t>
      </w:r>
    </w:p>
    <w:p>
      <w:r>
        <w:t>Regeste Art. 340 f. StGB, Art. 26 lit. a SGG; Bundesgerichtsbarkeit oder kantonale Gerichtsbarkeit. Wenn die Strafkammer des Bundesstrafgerichts die Bundesgerichtsbarkeit verneint und deshalb auf eine Anklage der Bundesanwaltschaft nicht eintritt, ist die eidgenössische Nichtigkeitsbeschwerde ans Bundesgericht zulässig (E. 1). Wenn die eidgenössischen und kantonalen Strafverfolgungsbehörden eine Vereinbarung über die Bundesgerichtsbarkeit getroffen haben, darf die Strafkammer des Bundesstrafgerichts diese nur in Frage stellen, wenn die Vereinbarung auf einem eigentlichen Missbrauch des Ermessens beruht (E. 2). Beim Vorwurf der Anstiftung zu falschem Zeugnis gemäss Art. 307 StGB kommt es für die Frage, ob eidgenössische oder kantonale Gerichtsbarkeit gegeben ist, darauf an, ob ein Verfahren der Bundesrechtspflege oder der kantonalen Rechtspflege betroffen ist (E. 3).</w:t>
      </w:r>
    </w:p>
    <w:p>
      <w:pPr>
        <w:pStyle w:val="Heading2"/>
      </w:pPr>
      <w:r>
        <w:t>Erwägungen</w:t>
      </w:r>
    </w:p>
    <w:p>
      <w:r>
        <w:rPr>
          <w:b/>
        </w:rPr>
        <w:t>E. 1</w:t>
      </w:r>
    </w:p>
    <w:p>
      <w:r>
        <w:t>Das Bundesstrafgericht in Bellinzona ist das erstinstanzliche Strafgericht des Bundes ( Art. 191a Abs. 1 BV ; Art. 1 Abs. 1 des Bundesgesetzes vom 4. Oktober 2002 über das Bundesstrafgericht [Strafgerichtsgesetz, SGG; SR 173.71]). Seine Strafkammer beurteilt Strafsachen, die nach den Artikeln 340 und 340 bis StGB der Bundesstrafgerichtsbarkeit unterstehen, soweit der Bundesanwalt die Untersuchung und Beurteilung nicht den kantonalen Behörden übertragen hat ( Art. 26 lit. a SGG ). Die Entscheide der Strafkammer des Bundesstrafgerichts können beim Kassationshof des Bundesgerichts mit Nichtigkeitsbeschwerde angefochten werden ( Art. 1 Abs. 2 und Art. 33 Abs. 3 lit. b SGG ). Das Verfahren richtet sich nach den Art. 268 ff. BStP , wobei der Bundesanwalt zur Beschwerde berechtigt ist ( Art. 33 Abs. 3 lit. b SGG ). Die Nichtigkeitsbeschwerde der Bundesanwaltschaft wird damit begründet, dass der Nichteintretensentscheid der Strafkammer des Bundesstrafgerichts eidgenössisches Recht verletze, was den zulässigen Rügegründen des Art. 269 Abs. 1 BStP entspricht. Fragen liesse sich indessen, ob die Nichtigkeitsbeschwerde BGE 132 IV 89 S. 93 ausgeschlossen ist, weil dem Streit ein Zuständigkeitskonflikt zu Grunde liegt. Tatsächlich haben der Kassationshof des Bundesgerichts und die frühere Anklagekammer stets an der Auffassung festgehalten, dass aArt. 264 BStP, wonach Gerichtsstandskonflikte von der Anklagekammer zu entscheiden waren, als Sonderbestimmung dem Art. 268 BStP vorging, was selbst dann galt, wenn ein kantonales Gericht seine Zuständigkeit verneinte ( BGE 91 IV 107 ). Heute ist für die Entscheidung von Anständen zwischen den Kantonen, aber auch von Anständen zwischen Bund und Kantonen die Beschwerdekammer des Bundesstrafgerichts zuständig ( Art. 279 und Art. 260 BStP ), wobei die Beschwerde gegen solche Entscheide an das Bundesgericht ausgeschlossen ist ( Art. 33 Abs. 3 lit. a SGG , e contrario). Wenngleich es somit dabei bleiben muss, dass Gerichtsstandskonflikte zwischen den Kantonen, aber auch Anstände zwischen den Strafverfolgungsbehörden von Bund und Kantonen definitiv durch die Beschwerdekammer des Bundesstrafgerichts entschieden werden, kann es sich nicht gleich verhalten, wenn es die Strafkammer des Bundesstrafgerichts ist, welche den Zuständigkeitskonflikt durch einen Nichteintretensentscheid auslöst. Es wäre nicht sachgerecht, wenn dieser Konflikt durch die andere Kammer desselben Gerichts geregelt werden müsste. Vielmehr muss in einem solchen Fall die Nichtigkeitsbeschwerde wegen Verletzung eidgenössischen Rechts zugelassen werden. Mithin ist auf die fristgerecht erhobene Beschwerde der Bundesanwaltschaft einzutreten.</w:t>
      </w:r>
    </w:p>
    <w:p>
      <w:r>
        <w:rPr>
          <w:b/>
        </w:rPr>
        <w:t>E. 2</w:t>
      </w:r>
    </w:p>
    <w:p>
      <w:r>
        <w:t>Gemäss Art. 340 bis StGB unterstehen der Bundesgerichtsbarkeit unter anderem die strafbaren Handlungen nach Art. 260 ter StGB sowie die Verbrechen, die von einer kriminellen Organisation im Sinne dieser Bestimmung ausgehen, sofern die strafbaren Handlungen zu einem wesentlichen Teil im Ausland (lit. a) oder in mehreren Kantonen begangen wurden und dabei kein eindeutiger Schwerpunkt in einem Kanton besteht (lit. b). Die Bundesgerichtsbarkeit ist zwingend im Unterschied zu den in Art. 340 bis Abs. 2 StGB genannten Verbrechen des zweiten und des elften Titels, wo die Eröffnung des Ermittlungsverfahrens durch die Bundesanwaltschaft die Bundesgerichtsbarkeit begründet (Abs. 3). Allerdings ändert der zwingende Charakter der Bundesgerichtsbarkeit nichts daran, dass diese in hohem Masse unbestimmt ist und nicht trennscharf bestimmt werden kann. Dies gilt nicht nur, was den Begehungsort, sondern auch was den Tatbestand der kriminellen Organisation BGE 132 IV 89 S. 94 selbst betrifft, wobei hinzukommt, dass die Eröffnung eines Verfahrens nach Art. 260 ter StGB nicht Voraussetzung der Zuständigkeit ist, sondern es genügt, dass das Verbrechen von einer solchen Organisation ausgeht. Wie es sich damit verhält, kann vielfach zu Beginn einer Untersuchung nicht mit Bestimmtheit festgestellt werden. Gleich wie bei der Bestimmung des interkantonalen Gerichtsstandes, sind auch die Strafverfolgungsbehörden des Bundes und der Kantone gehalten, sich über die Zuständigkeit zu verständigen. Erst wenn eine solche Verständigung scheitert, liegt ein Kompetenzkonflikt vor, und unterbreitet die Strafverfolgungsbehörde, die zuerst mit dem Fall befasst war, die Angelegenheit der Beschwerdekammer des Bundesstrafgerichts ( Art. 279 Abs. 1 BStP ; SCHWERI/ BÄNZIGER, Interkantonale Gerichtsstandsbestimmung in Strafsachen, 2. Aufl., Bern 2004, Rz. 561 ff.). Kommt es demgegenüber zu einer Einigung, so kann der Beschuldigte an die Beschwerdekammer des Bundesstrafgerichts gelangen (Art. 279 Abs. 2 i.V.m. Art. 214 Abs. 2 BStP ; vgl. BGE 128 IV 225 E. 2.3), was er hier aber nicht getan hat. Nach der Rechtsprechung ist eine nachträgliche Änderung der einmal vereinbarten Zuständigkeit zwar grundsätzlich möglich, es bedarf dafür aber triftiger Gründe ( BGE 120 IV 282 E. 3a S. 286; BGE 107 IV 158 E. 1; 71 IV 60 E. 1). Das ergibt sich namentlich bei fortgeschrittener Untersuchung bereits daraus, dass Gründe der Effizienz und der beschleunigten Durchführung des Verfahrens gegen eine solche Änderung sprechen ( BGE 130 IV 68 E. 2.4; BGE 128 IV 225 E. 3.5; BGE 120 IV 282 E. 3b S. 286). Die Strafkammer des Bundesstrafgerichts wird daher eine Vereinbarung zwischen den eidgenössischen und kantonalen Strafverfolgungsbehörden über die Zuständigkeit nur in Frage stellen dürfen, wenn diese auf einem eigentlichen Missbrauch des Ermessens beruht ( BGE 120 IV 282 E. 3a S. 286; BGE 119 IV 250 E. 3c; BGE 117 IV 90 E. 4a). Nach diesem Massstab hatte die Strafkammer des Bundesstrafgerichts keinen Anlass, die Bundesgerichtsbarkeit in Frage zu stellen. Wohl trifft zu, dass die Bundesanwaltschaft zunächst ihre Zuständigkeit verneinte und auch nach Übernahme des Falles noch erklärte, sie würde die rechtlichen Überlegungen des Generalprokurators des Kantons Bern nicht integral anerkennen. Dieser hatte ausgeführt, Hintergrund der Straftaten sei eine grössere BGE 132 IV 89 S. 95 Organisation von Griechen, welche eines der grössten Labors zur Herstellung von Amphetamintabletten betrieben. Verwiesen wurde weiter auf die erhebliche Bedeutung des Drogengeschäftes, auf den beachtlichen Organisationsgrad der Täterschaft und den multinationalen Kontext (Produktion in Griechenland, Export in Schiffsgeneratoren nach den Arabischen Emiraten, Transport und Verkauf in Westeuropa, Rückfluss des Gewinnes über verschiedene Finanzinstitute zurück nach Griechenland). Im Schlussbericht des Eidgenössischen Untersuchungsrichters wird ferner festgehalten, Gegenstand des Verfahrens sei eine arbeitsteilige und methodisch hoch professionelle Produktion von Amphetaminen, welche einerseits im Rahmen einer betrieblichen Hierarchie erfolgt sei, anderseits als illegaler Bereich in den legalen Produktionsbereich der A. integriert und gleichzeitig abgeschottet gewesen sei. Zutritt zu den Räumlichkeiten hätten bloss die Beschuldigten als unmittelbar Mitwirkende gehabt, und Kontakte zwischen den Mitarbeitenden der A. zu dem für die Produktion zuständigen D. seien unterbunden worden. Die getätigte Investition des Kaufes eines Reaktors mache deutlich, dass die Produktion auf Dauer angelegt gewesen sei. Bei dieser Ausgangslage kann jedenfalls nicht gesagt werden, es habe keinen sachlichen Hintergrund für die Annahme gegeben, die Straftaten seien von einer kriminellen Organisation ausgegangen. Dass der Bundesanwalt die rechtlichen Ausführungen des Generalprokurators nicht vollumfänglich teilen wollte, ändert hieran nichts. Vereinbarungen über die Zuständigkeit werden nicht selten trotz unterschiedlicher Auffassungen der beteiligten Strafverfolgungsbehörden geschlossen, was aber die Einigung nicht missbräuchlich erscheinen lässt. Erweist sich die Bejahung der Bundesgerichtsbarkeit demnach als haltbar, so hätte die Strafkammer des Bundesstrafgerichts auf die Anklage eintreten müssen.</w:t>
      </w:r>
    </w:p>
    <w:p>
      <w:r>
        <w:rPr>
          <w:b/>
        </w:rPr>
        <w:t>E. 3</w:t>
      </w:r>
    </w:p>
    <w:p>
      <w:r>
        <w:t>Die Strafkammer des Bundesstrafgerichts verneint auch die Zuständigkeit für die Beurteilung der Anklage wegen Anstiftung zu falschem Zeugnis ( Art. 307 StGB ). Gemäss Art. 340 Ziff. 1 al. 7 StGB unterstehen der Bundesgerichtsbarkeit unter anderem die strafbaren Handlungen des 17. Titels, sofern sie gegen die Behörden des Bundes oder gegen die Bundesrechtspflege gerichtet sind. In Frage steht die Beeinflussung von Zeugen, welche auf Begehren der Strafverfolgungsbehörde des Bundes in Griechenland rechtshilfeweise einvernommen wurden. Für die Zuständigkeit kann BGE 132 IV 89 S. 96 es nur darauf ankommen, ob ein Verfahren der kantonalen Rechtspflege oder aber der Bundesrechtspflege betroffen ist. Da hier das zweite zutrifft, ist Bundesgerichtsbarkeit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